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COLORES DE CAMPECHE Y YUCAT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RIDA EXCURSI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OPCIONAL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CHICHEN ITZ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/ XCAJ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 / IZAMAL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Traslado hacia las mundialmente famosa Zona Arqueol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de-DE"/>
          <w14:textFill>
            <w14:solidFill>
              <w14:srgbClr w14:val="72627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14:textFill>
            <w14:solidFill>
              <w14:srgbClr w14:val="72627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pt-PT"/>
          <w14:textFill>
            <w14:solidFill>
              <w14:srgbClr w14:val="72627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pt-PT"/>
          <w14:textFill>
            <w14:solidFill>
              <w14:srgbClr w14:val="72627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CENOTES DE SANTA 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RBARA / CENOTE SANTA ROSA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Cita en el lobby del hotel para dirigirnos hacia Santa B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 xml:space="preserve">rbara, donde podremos apreciar la peculiaridad de 3 cenotes, uno que se encuentra en una cueva, el siguiente semi abierto y el 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ltimo completamente abierto, todos rodeados de la maravillosa flora y fauna nativa, aqu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podremos nadar rodeados de un ambiente natural.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s visitaremos el complejo tur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pt-PT"/>
          <w14:textFill>
            <w14:solidFill>
              <w14:srgbClr w14:val="726277"/>
            </w14:solidFill>
          </w14:textFill>
        </w:rPr>
        <w:t>stico Cenote de Santa Rosa.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 xml:space="preserve">(Incluye comida sin bebidas) </w:t>
      </w:r>
      <w:r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726277"/>
          <w:sz w:val="20"/>
          <w:szCs w:val="20"/>
          <w:u w:color="726277"/>
          <w:rtl w:val="0"/>
          <w:lang w:val="pt-PT"/>
          <w14:textFill>
            <w14:solidFill>
              <w14:srgbClr w14:val="726277"/>
            </w14:solidFill>
          </w14:textFill>
        </w:rPr>
        <w:t>rida.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UXMAL / KABAH / ECOMUSEO / CAMPECHE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Posteriormente nos dirigiremos a Uxmal, conocida como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tres veces construida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se ubica en una zona de cerros llamada Puuc, que rompe la monoton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de la llanura yucateca. Es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de la zona pues lleg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tener 20,000 habitantes en su esplendor. La conforman 15 grupos de edificios que abarcan cerca de 2km, destacando la Pir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mide del Adivino, el Cuadr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ngulo de las Monjas y el Palacio del Gobernador.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Kabah reconocida por sus edificios decorados con complejas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scaras de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recorreremos el Ecomuseo del Cacao para conocer la transformaci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e historia de este fruto ancestral.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ltimo nos dirigiremos a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CAMPECHE / EDZN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/ CAMPECHE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Posteriormente nos dirigiremos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hacia Edzn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,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en la que se han localizado un poco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200 estructuras, entre basamentos, plataformas, edificios y conjuntos habitacionales, de los cuales se han explorado las construcciones que est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alrededor de la Gran Plaza, como la Gran Acr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polis, la Plataforma de los Cuchillos, el Anexo de los Cuchillos, la Casa Grande o Noholn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, un sacb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é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camino blanco, un juego de pelota, un conjunto de templos al sur de la Gran Plaza y la Peque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 Acr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polis, entre otros.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regresaremos a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CAMPECHE / AEROPUERTO DE CAMPECHE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el centro de esta maravillosa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3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$16,516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$15,762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$15,333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$21,173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$11,679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4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$17,539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$16,700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$16,229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$22,448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$11,679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o29t9oawct0p"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0"/>
    </w:p>
    <w:p>
      <w:pPr>
        <w:pStyle w:val="Cuerpo"/>
      </w:pPr>
      <w:bookmarkStart w:name="_headingh.gjdgxs" w:id="1"/>
      <w:bookmarkEnd w:id="1"/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