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CHIAPAS 2x1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06 DÍAS / 05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a las 03:30 hrs. (madrugada) hacia las espectaculares Cascadas de Agua Azul, donde podrás refrescarte y recorrer sus senderos.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78787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24d48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  <w:rtl w:val="0"/>
        </w:rPr>
        <w:t xml:space="preserve">PALENQUE / ROBERTO BARRIOS / SAN CRISTÓBAL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las cascadas de Roberto Barrios, un conjunto de bellos saltos cristalinos donde podrás relajarte y disfrutar de sus aguas en tonalidades turquesa.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Regresaremos al punto de reunión en Palenque para abordar el transporte hacia San Cristóbal de Las Casas.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Llegada aproximada a la medianoche.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b w:val="1"/>
          <w:bCs w:val="1"/>
          <w:color w:val="024d48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24d48"/>
          <w:sz w:val="30"/>
          <w:szCs w:val="30"/>
          <w:rtl w:val="0"/>
        </w:rPr>
        <w:t xml:space="preserve">Día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DE LAS CASAS / AEROPUERTO TUXTLA GUTIÉRREZ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desde tu hotel en San Cristóbal de Las Casas al aeropuerto Ángel Albino Corzo de Tuxtla Gutiérrez, según el horario elegido.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Consulta los horarios de traslado y considera al menos 4 horas de anticipación antes de la salida del vuelo.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b w:val="1"/>
          <w:bCs w:val="1"/>
          <w:color w:val="2bb3b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3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70.0" w:type="dxa"/>
        <w:jc w:val="left"/>
        <w:tblLayout w:type="fixed"/>
        <w:tblLook w:val="0400"/>
      </w:tblPr>
      <w:tblGrid>
        <w:gridCol w:w="1290"/>
        <w:gridCol w:w="2490"/>
        <w:gridCol w:w="2490"/>
        <w:tblGridChange w:id="0">
          <w:tblGrid>
            <w:gridCol w:w="1290"/>
            <w:gridCol w:w="2490"/>
            <w:gridCol w:w="24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5d09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TEMPORADA PLANA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$16,800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2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$23,700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3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MENOR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$5,806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por cada menor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habitación de acuerdo a la base seleccionada.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bookmarkStart w:colFirst="0" w:colLast="0" w:name="kix.xvb5wl535kro" w:id="1"/>
    <w:bookmarkEnd w:id="1"/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 llegada debe ser al aeropuerto de Tuxtla Gutiérrez antes de las 12:00 hrs.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A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