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CHIAPAS DÍA DE MUERTOS 2X1</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ÚNICA SALIDA 30 OCTUBRE - 3 NOVIEMBRE</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TUXTLA GUTIÉRREZ / CAÑÓN DEL SUMIDERO / SAN CRISTÓBAL </w:t>
      </w:r>
      <w:r w:rsidDel="00000000" w:rsidR="00000000" w:rsidRPr="00000000">
        <w:rPr>
          <w:rtl w:val="0"/>
        </w:rPr>
      </w:r>
    </w:p>
    <w:p w:rsidR="00000000" w:rsidDel="00000000" w:rsidP="00000000" w:rsidRDefault="00000000" w:rsidRPr="00000000" w14:paraId="0000000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Tuxtla Gutiérrez.</w:t>
      </w:r>
    </w:p>
    <w:p w:rsidR="00000000" w:rsidDel="00000000" w:rsidP="00000000" w:rsidRDefault="00000000" w:rsidRPr="00000000" w14:paraId="0000000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tarde, partiremos hacia San Cristóbal de Las Casas.</w:t>
      </w:r>
    </w:p>
    <w:p w:rsidR="00000000" w:rsidDel="00000000" w:rsidP="00000000" w:rsidRDefault="00000000" w:rsidRPr="00000000" w14:paraId="0000000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0B">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*Menores de un año no podrán realizar el recorrido en lancha.</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2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CASCADA DE CHIFLÓN / LAGOS DE MONTEBELLO / SAN CRISTÓBAL</w:t>
      </w:r>
      <w:r w:rsidDel="00000000" w:rsidR="00000000" w:rsidRPr="00000000">
        <w:rPr>
          <w:rtl w:val="0"/>
        </w:rPr>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1">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Fonts w:ascii="Century Gothic" w:cs="Century Gothic" w:eastAsia="Century Gothic" w:hAnsi="Century Gothic"/>
          <w:b w:val="1"/>
          <w:bCs w:val="1"/>
          <w:color w:val="006666"/>
          <w:sz w:val="20"/>
          <w:szCs w:val="20"/>
          <w:rtl w:val="0"/>
        </w:rPr>
        <w:t xml:space="preserve">💀</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SAN JUAN CHAMULA / ZINACANTÁN / SAN CRISTÓBAL</w:t>
      </w: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San Juan Chamula y Zinacantán para vivir la magia del Día de Muertos. En El Romerillo, en San Juan Chamula, admiraremos las tradiciones coloridas, danzas y cruces adornadas con cempasúchil.</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En Zinacantán conoceremos el cementerio local, donde las familias celebran a sus seres queridos con ofrendas y flores, creando un ambiente lleno de vida y tradición.</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Regreso a San Cristóbal de Las Casas y noche de descanso.</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AGUA AZUL / MISOL HA / ZONA ARQ. DE PALENQUE / SAN CRISTÓBAL</w:t>
      </w: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Salida muy temprano hacia las espectaculares Cascadas de Agua Azul, donde podrás refrescarte y recorrer sus senderos.</w:t>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b w:val="1"/>
          <w:bCs w:val="1"/>
          <w:i w:val="1"/>
          <w:iCs w:val="1"/>
          <w:color w:val="878787"/>
          <w:sz w:val="18"/>
          <w:szCs w:val="18"/>
          <w:rtl w:val="0"/>
        </w:rPr>
        <w:t xml:space="preserve">⚠️ Este tour tiene una duración de más de 20 horas.</w:t>
      </w: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726277"/>
          <w:sz w:val="20"/>
          <w:szCs w:val="20"/>
        </w:rPr>
      </w:pPr>
      <w:r w:rsidDel="00000000" w:rsidR="00000000" w:rsidRPr="00000000">
        <w:rPr>
          <w:rFonts w:ascii="Century Gothic" w:cs="Century Gothic" w:eastAsia="Century Gothic" w:hAnsi="Century Gothic"/>
          <w:color w:val="726277"/>
          <w:sz w:val="20"/>
          <w:szCs w:val="20"/>
          <w:rtl w:val="0"/>
        </w:rPr>
        <w:t xml:space="preserve">  </w:t>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726277"/>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AEROPUERTO TUXTLA GUTIÉRREZ</w:t>
      </w: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mañana, realizaremos el traslado al aeropuerto con tiempo suficiente para tu vuelo.</w:t>
      </w:r>
    </w:p>
    <w:p w:rsidR="00000000" w:rsidDel="00000000" w:rsidP="00000000" w:rsidRDefault="00000000" w:rsidRPr="00000000" w14:paraId="0000002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24">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Recorrido en lancha compartida por el Cañón del Sumidero.</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Hoteles categoría 3 y 4 estrellas.</w:t>
      </w: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w:t>
      </w:r>
    </w:p>
    <w:p w:rsidR="00000000" w:rsidDel="00000000" w:rsidP="00000000" w:rsidRDefault="00000000" w:rsidRPr="00000000" w14:paraId="0000002E">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Guía certificado en zonas arqueológicas, city tour, Zinacantán y San Juan Chamula.</w:t>
      </w:r>
    </w:p>
    <w:p w:rsidR="00000000" w:rsidDel="00000000" w:rsidP="00000000" w:rsidRDefault="00000000" w:rsidRPr="00000000" w14:paraId="0000002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Experiencia de cacao. </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w:t>
      </w:r>
    </w:p>
    <w:p w:rsidR="00000000" w:rsidDel="00000000" w:rsidP="00000000" w:rsidRDefault="00000000" w:rsidRPr="00000000" w14:paraId="00000036">
      <w:pPr>
        <w:spacing w:after="0"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37">
      <w:pPr>
        <w:spacing w:after="24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143204377"/>
        <w:tag w:val="goog_rdk_0"/>
      </w:sdtPr>
      <w:sdtContent>
        <w:tbl>
          <w:tblPr>
            <w:tblStyle w:val="Table1"/>
            <w:tblW w:w="6270.0" w:type="dxa"/>
            <w:jc w:val="left"/>
            <w:tblLayout w:type="fixed"/>
            <w:tblLook w:val="0400"/>
          </w:tblPr>
          <w:tblGrid>
            <w:gridCol w:w="1290"/>
            <w:gridCol w:w="2490"/>
            <w:gridCol w:w="2490"/>
            <w:tblGridChange w:id="0">
              <w:tblGrid>
                <w:gridCol w:w="1290"/>
                <w:gridCol w:w="2490"/>
                <w:gridCol w:w="2490"/>
              </w:tblGrid>
            </w:tblGridChange>
          </w:tblGrid>
          <w:tr>
            <w:trPr>
              <w:cantSplit w:val="0"/>
              <w:trHeight w:val="300" w:hRule="atLeast"/>
              <w:tblHeader w:val="0"/>
            </w:trPr>
            <w:tc>
              <w:tcPr>
                <w:gridSpan w:val="3"/>
                <w:tcBorders>
                  <w:top w:color="ffffff" w:space="0" w:sz="6" w:val="single"/>
                  <w:left w:color="ffffff" w:space="0" w:sz="6" w:val="single"/>
                  <w:bottom w:color="ffffff" w:space="0" w:sz="6" w:val="single"/>
                  <w:right w:color="ffffff" w:space="0" w:sz="6" w:val="single"/>
                </w:tcBorders>
                <w:shd w:fill="a5d09e" w:val="clear"/>
                <w:tcMar>
                  <w:top w:w="0.0" w:type="dxa"/>
                  <w:left w:w="40.0" w:type="dxa"/>
                  <w:bottom w:w="0.0" w:type="dxa"/>
                  <w:right w:w="40.0" w:type="dxa"/>
                </w:tcMar>
                <w:vAlign w:val="bottom"/>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3* HOTEL MUK’UL NA</w:t>
                </w:r>
                <w:r w:rsidDel="00000000" w:rsidR="00000000" w:rsidRPr="00000000">
                  <w:rPr>
                    <w:rtl w:val="0"/>
                  </w:rPr>
                </w:r>
              </w:p>
            </w:tc>
          </w:tr>
          <w:tr>
            <w:trPr>
              <w:cantSplit w:val="0"/>
              <w:trHeight w:val="555" w:hRule="atLeast"/>
              <w:tblHeader w:val="0"/>
            </w:trPr>
            <w:tc>
              <w:tcPr>
                <w:tcBorders>
                  <w:top w:color="ffffff" w:space="0" w:sz="6" w:val="single"/>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BASE</w:t>
                </w:r>
                <w:r w:rsidDel="00000000" w:rsidR="00000000" w:rsidRPr="00000000">
                  <w:rPr>
                    <w:rtl w:val="0"/>
                  </w:rPr>
                </w:r>
              </w:p>
            </w:tc>
            <w:tc>
              <w:tcPr>
                <w:gridSpan w:val="2"/>
                <w:tcBorders>
                  <w:top w:color="ffffff" w:space="0" w:sz="6" w:val="single"/>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DBL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$17,436</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0">
                <w:pPr>
                  <w:spacing w:after="0" w:line="240" w:lineRule="auto"/>
                  <w:jc w:val="center"/>
                  <w:rPr>
                    <w:color w:val="434343"/>
                  </w:rPr>
                </w:pPr>
                <w:r w:rsidDel="00000000" w:rsidR="00000000" w:rsidRPr="00000000">
                  <w:rPr>
                    <w:color w:val="434343"/>
                    <w:rtl w:val="0"/>
                  </w:rPr>
                  <w:t xml:space="preserve">para 2 personas</w:t>
                </w:r>
              </w:p>
            </w:tc>
          </w:tr>
          <w:tr>
            <w:trPr>
              <w:cantSplit w:val="0"/>
              <w:trHeight w:val="300" w:hRule="atLeast"/>
              <w:tblHeader w:val="0"/>
            </w:trPr>
            <w:tc>
              <w:tcPr>
                <w:tcBorders>
                  <w:top w:color="ffffff" w:space="0" w:sz="6" w:val="single"/>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TPL</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$24,360</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43">
                <w:pPr>
                  <w:spacing w:after="0" w:line="240" w:lineRule="auto"/>
                  <w:jc w:val="center"/>
                  <w:rPr>
                    <w:color w:val="434343"/>
                  </w:rPr>
                </w:pPr>
                <w:r w:rsidDel="00000000" w:rsidR="00000000" w:rsidRPr="00000000">
                  <w:rPr>
                    <w:color w:val="434343"/>
                    <w:rtl w:val="0"/>
                  </w:rPr>
                  <w:t xml:space="preserve">para 3 personas</w:t>
                </w:r>
              </w:p>
            </w:tc>
          </w:tr>
          <w:tr>
            <w:trPr>
              <w:cantSplit w:val="0"/>
              <w:trHeight w:val="300" w:hRule="atLeast"/>
              <w:tblHeader w:val="0"/>
            </w:trPr>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MENOR</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color w:val="434343"/>
                    <w:rtl w:val="0"/>
                  </w:rPr>
                  <w:t xml:space="preserve">$6,660</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6">
                <w:pPr>
                  <w:spacing w:after="0" w:line="240" w:lineRule="auto"/>
                  <w:jc w:val="center"/>
                  <w:rPr>
                    <w:color w:val="434343"/>
                  </w:rPr>
                </w:pPr>
                <w:r w:rsidDel="00000000" w:rsidR="00000000" w:rsidRPr="00000000">
                  <w:rPr>
                    <w:color w:val="434343"/>
                    <w:rtl w:val="0"/>
                  </w:rPr>
                  <w:t xml:space="preserve">por cada menor</w:t>
                </w:r>
              </w:p>
            </w:tc>
          </w:tr>
          <w:tr>
            <w:trPr>
              <w:cantSplit w:val="0"/>
              <w:trHeight w:val="300" w:hRule="atLeast"/>
              <w:tblHeader w:val="0"/>
            </w:trPr>
            <w:tc>
              <w:tcPr>
                <w:tcBorders>
                  <w:top w:color="ffffff" w:space="0" w:sz="6" w:val="single"/>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tcMar>
                  <w:top w:w="0.0" w:type="dxa"/>
                  <w:left w:w="40.0" w:type="dxa"/>
                  <w:bottom w:w="0.0" w:type="dxa"/>
                  <w:right w:w="40.0" w:type="dxa"/>
                </w:tcMar>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4A">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B">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habitación de acuerdo a la base seleccionada.</w:t>
      </w:r>
    </w:p>
    <w:p w:rsidR="00000000" w:rsidDel="00000000" w:rsidP="00000000" w:rsidRDefault="00000000" w:rsidRPr="00000000" w14:paraId="0000004C">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Niños de 1 año o menos NO podrán abordar la lancha para Cañón del Sumidero, por disposición de las autoridades. </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53">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54">
      <w:pPr>
        <w:spacing w:after="0" w:line="240" w:lineRule="auto"/>
        <w:jc w:val="left"/>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55">
      <w:pPr>
        <w:spacing w:after="0"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56">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57">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L</w:t>
      </w:r>
      <w:r w:rsidDel="00000000" w:rsidR="00000000" w:rsidRPr="00000000">
        <w:rPr>
          <w:rFonts w:ascii="Century Gothic" w:cs="Century Gothic" w:eastAsia="Century Gothic" w:hAnsi="Century Gothic"/>
          <w:color w:val="808080"/>
          <w:rtl w:val="0"/>
        </w:rPr>
        <w:t xml:space="preserve">a llegada debe ser al aeropuerto de Tuxtla Gutiérrez antes de las 10:00 hrs.</w:t>
      </w:r>
    </w:p>
    <w:p w:rsidR="00000000" w:rsidDel="00000000" w:rsidP="00000000" w:rsidRDefault="00000000" w:rsidRPr="00000000" w14:paraId="00000058">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9">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en temporada baja debe de ser anticipado con el 20% hasta 7 días después de reservar y pagado al 100% al menos 15 días antes de la llegada de los pasajeros; paquete no pagado, servicio que no será proporcionado.</w:t>
      </w:r>
    </w:p>
    <w:p w:rsidR="00000000" w:rsidDel="00000000" w:rsidP="00000000" w:rsidRDefault="00000000" w:rsidRPr="00000000" w14:paraId="0000005A">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w:t>
      </w:r>
      <w:r w:rsidDel="00000000" w:rsidR="00000000" w:rsidRPr="00000000">
        <w:rPr>
          <w:rtl w:val="0"/>
        </w:rPr>
      </w:r>
    </w:p>
    <w:p w:rsidR="00000000" w:rsidDel="00000000" w:rsidP="00000000" w:rsidRDefault="00000000" w:rsidRPr="00000000" w14:paraId="0000005C">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D">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b w:val="1"/>
          <w:bCs w:val="1"/>
          <w:color w:val="808080"/>
          <w:rtl w:val="0"/>
        </w:rPr>
        <w:t xml:space="preserve">NO aplica para este paquete. </w:t>
      </w:r>
    </w:p>
    <w:p w:rsidR="00000000" w:rsidDel="00000000" w:rsidP="00000000" w:rsidRDefault="00000000" w:rsidRPr="00000000" w14:paraId="0000005E">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F">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por parte de Mayan Touring aplican las siguientes condiciones:</w:t>
      </w:r>
    </w:p>
    <w:p w:rsidR="00000000" w:rsidDel="00000000" w:rsidP="00000000" w:rsidRDefault="00000000" w:rsidRPr="00000000" w14:paraId="00000060">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61">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6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63">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6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6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w:t>
      </w:r>
    </w:p>
    <w:p w:rsidR="00000000" w:rsidDel="00000000" w:rsidP="00000000" w:rsidRDefault="00000000" w:rsidRPr="00000000" w14:paraId="00000066">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7">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68">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6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6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6D">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E">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NO aplica para este paquete. </w:t>
      </w:r>
      <w:r w:rsidDel="00000000" w:rsidR="00000000" w:rsidRPr="00000000">
        <w:rPr>
          <w:rtl w:val="0"/>
        </w:rPr>
      </w:r>
    </w:p>
    <w:p w:rsidR="00000000" w:rsidDel="00000000" w:rsidP="00000000" w:rsidRDefault="00000000" w:rsidRPr="00000000" w14:paraId="0000006F">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0">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1">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72">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3">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7,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74">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5">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76">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VyvFWkKsmXiCqvZ3liHGFb5aQ==">CgMxLjAaHwoBMBIaChgICVIUChJ0YWJsZS5nMHQwNGZmZHp5ZGM4AHIhMXZHTlBZRHFFeVNRQnQtSnBVQ1ZHX1lpcFlJOTY0d2Zl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2024-02-12T15:30:00Z</dcterms:created>
  <dc:creator>HP</dc:creator>
</cp:coreProperties>
</file>