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OAXACA CLÁSICO</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04 DÍAS / 03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 (ORDEN DE ITINERARIO SUJETO A CAMBIOS) </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OAXACA / CITY TOUR / OAXACA</w:t>
      </w:r>
      <w:r w:rsidDel="00000000" w:rsidR="00000000" w:rsidRPr="00000000">
        <w:rPr>
          <w:rtl w:val="0"/>
        </w:rPr>
      </w:r>
    </w:p>
    <w:p w:rsidR="00000000" w:rsidDel="00000000" w:rsidP="00000000" w:rsidRDefault="00000000" w:rsidRPr="00000000" w14:paraId="00000007">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Oaxaca.</w:t>
      </w:r>
    </w:p>
    <w:p w:rsidR="00000000" w:rsidDel="00000000" w:rsidP="00000000" w:rsidRDefault="00000000" w:rsidRPr="00000000" w14:paraId="00000008">
      <w:pPr>
        <w:spacing w:after="0" w:line="240" w:lineRule="auto"/>
        <w:rPr>
          <w:rFonts w:ascii="Century Gothic" w:cs="Century Gothic" w:eastAsia="Century Gothic" w:hAnsi="Century Gothic"/>
          <w:color w:val="878787"/>
          <w:sz w:val="18"/>
          <w:szCs w:val="18"/>
        </w:rPr>
      </w:pPr>
      <w:r w:rsidDel="00000000" w:rsidR="00000000" w:rsidRPr="00000000">
        <w:rPr>
          <w:rFonts w:ascii="Century Gothic" w:cs="Century Gothic" w:eastAsia="Century Gothic" w:hAnsi="Century Gothic"/>
          <w:color w:val="878787"/>
          <w:sz w:val="20"/>
          <w:szCs w:val="20"/>
          <w:rtl w:val="0"/>
        </w:rPr>
        <w:t xml:space="preserve">Traslado al hotel para que te acomodes y comiences a descubrir esta maravillosa ciudad. </w:t>
      </w:r>
      <w:r w:rsidDel="00000000" w:rsidR="00000000" w:rsidRPr="00000000">
        <w:rPr>
          <w:rFonts w:ascii="Century Gothic" w:cs="Century Gothic" w:eastAsia="Century Gothic" w:hAnsi="Century Gothic"/>
          <w:b w:val="1"/>
          <w:i w:val="1"/>
          <w:color w:val="878787"/>
          <w:sz w:val="18"/>
          <w:szCs w:val="18"/>
          <w:rtl w:val="0"/>
        </w:rPr>
        <w:t xml:space="preserve">(Check-in 15:00 hrs.)</w:t>
      </w:r>
      <w:r w:rsidDel="00000000" w:rsidR="00000000" w:rsidRPr="00000000">
        <w:rPr>
          <w:rFonts w:ascii="Century Gothic" w:cs="Century Gothic" w:eastAsia="Century Gothic" w:hAnsi="Century Gothic"/>
          <w:color w:val="878787"/>
          <w:sz w:val="20"/>
          <w:szCs w:val="20"/>
          <w:rtl w:val="0"/>
        </w:rPr>
        <w:t xml:space="preserve"> Después de encontrarnos en el punto de reunión empezaremos un recorrido a pie por el centro histórico.</w:t>
      </w:r>
      <w:r w:rsidDel="00000000" w:rsidR="00000000" w:rsidRPr="00000000">
        <w:rPr>
          <w:rFonts w:ascii="Century Gothic" w:cs="Century Gothic" w:eastAsia="Century Gothic" w:hAnsi="Century Gothic"/>
          <w:b w:val="1"/>
          <w:i w:val="1"/>
          <w:color w:val="878787"/>
          <w:sz w:val="18"/>
          <w:szCs w:val="18"/>
          <w:rtl w:val="0"/>
        </w:rPr>
        <w:t xml:space="preserve"> (Traslado al punto de reunión por cuenta del pasajero).</w:t>
      </w:r>
      <w:r w:rsidDel="00000000" w:rsidR="00000000" w:rsidRPr="00000000">
        <w:rPr>
          <w:rtl w:val="0"/>
        </w:rPr>
      </w:r>
    </w:p>
    <w:p w:rsidR="00000000" w:rsidDel="00000000" w:rsidP="00000000" w:rsidRDefault="00000000" w:rsidRPr="00000000" w14:paraId="00000009">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Descubre el Zócalo, rodeado de edificios históricos. Pasea por sus coloridas calles, llenas de aromas a chocolate y café. En el mercado local, tendrás la oportunidad de comprar delicias locales. Después, disfruta de tiempo libre para seguir explorando el centro o regresar al hotel.</w:t>
      </w:r>
    </w:p>
    <w:p w:rsidR="00000000" w:rsidDel="00000000" w:rsidP="00000000" w:rsidRDefault="00000000" w:rsidRPr="00000000" w14:paraId="0000000A">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MONTE ALBÁN / ARRAZOLA / CUILAPAM / COYOTEPEC / OAXACA</w:t>
      </w: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exploraremos Monte Albán, una de las zonas arqueológicas más importantes de México, Luego, visitaremos San Antonio Arrazola, conocido por sus vibrantes alebrijes, piezas de arte popular que capturan la magia de Oaxaca. En Cuilapam de Guerrero, exploraremos el majestuoso exconvento de Santiago Apóstol.</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en San Bartolo Coyotepec, donde conocerás el proceso de elaboración del barro negro. </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TULE / MITLA / HIERVE EL AGUA / TEOTITLÁN DEL VALLE / OAXACA</w:t>
      </w:r>
      <w:r w:rsidDel="00000000" w:rsidR="00000000" w:rsidRPr="00000000">
        <w:rPr>
          <w:rtl w:val="0"/>
        </w:rPr>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el día con una visita al legendario árbol del Tule.</w:t>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nos dirigiremos a Hierve el Agua, un impresionante paisaje de cascadas petrificadas. Exploraremos la zona arqueológica de Mitla, conocida como "La Ciudad de los Muertos". </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Finalmente, visitaremos Teotitlán del Valle, famoso por la elaboración de tapetes de lana.</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AEROPUERTO DE OAXACA</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al aeropuerto de Oaxaca según la hora de tu vuelo.</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78787"/>
          <w:sz w:val="20"/>
          <w:szCs w:val="20"/>
          <w:rtl w:val="0"/>
        </w:rPr>
        <w:t xml:space="preserve">Fin de nuestros servicios.</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2C">
      <w:pPr>
        <w:spacing w:after="0" w:line="240" w:lineRule="auto"/>
        <w:rPr>
          <w:rFonts w:ascii="Century Gothic" w:cs="Century Gothic" w:eastAsia="Century Gothic" w:hAnsi="Century Gothic"/>
          <w:color w:val="808080"/>
          <w:sz w:val="18"/>
          <w:szCs w:val="18"/>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2400"/>
            <w:tblGridChange w:id="0">
              <w:tblGrid>
                <w:gridCol w:w="1125"/>
                <w:gridCol w:w="2400"/>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2D">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2F">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0">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1">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2">
                    <w:pPr>
                      <w:widowControl w:val="0"/>
                      <w:spacing w:after="0" w:line="276" w:lineRule="auto"/>
                      <w:jc w:val="center"/>
                      <w:rPr/>
                    </w:pPr>
                    <w:r w:rsidDel="00000000" w:rsidR="00000000" w:rsidRPr="00000000">
                      <w:rPr>
                        <w:color w:val="434343"/>
                        <w:rtl w:val="0"/>
                      </w:rPr>
                      <w:t xml:space="preserve">$8,224</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widowControl w:val="0"/>
                      <w:spacing w:after="0" w:line="276" w:lineRule="auto"/>
                      <w:jc w:val="center"/>
                      <w:rPr/>
                    </w:pPr>
                    <w:r w:rsidDel="00000000" w:rsidR="00000000" w:rsidRPr="00000000">
                      <w:rPr>
                        <w:color w:val="434343"/>
                        <w:rtl w:val="0"/>
                      </w:rPr>
                      <w:t xml:space="preserve">$7,676</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jc w:val="center"/>
                      <w:rPr/>
                    </w:pPr>
                    <w:r w:rsidDel="00000000" w:rsidR="00000000" w:rsidRPr="00000000">
                      <w:rPr>
                        <w:color w:val="434343"/>
                        <w:rtl w:val="0"/>
                      </w:rPr>
                      <w:t xml:space="preserve">$7,363</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center"/>
                      <w:rPr/>
                    </w:pPr>
                    <w:r w:rsidDel="00000000" w:rsidR="00000000" w:rsidRPr="00000000">
                      <w:rPr>
                        <w:color w:val="434343"/>
                        <w:rtl w:val="0"/>
                      </w:rPr>
                      <w:t xml:space="preserve">$11,551</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color w:val="434343"/>
                        <w:rtl w:val="0"/>
                      </w:rPr>
                      <w:t xml:space="preserve">$5,436</w:t>
                    </w:r>
                    <w:r w:rsidDel="00000000" w:rsidR="00000000" w:rsidRPr="00000000">
                      <w:rPr>
                        <w:rtl w:val="0"/>
                      </w:rPr>
                    </w:r>
                  </w:p>
                </w:tc>
              </w:sdtContent>
            </w:sdt>
          </w:tr>
          <w:tr>
            <w:trPr>
              <w:cantSplit w:val="0"/>
              <w:trHeight w:val="315"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rPr/>
                    </w:pPr>
                    <w:r w:rsidDel="00000000" w:rsidR="00000000" w:rsidRPr="00000000">
                      <w:rPr>
                        <w:rtl w:val="0"/>
                      </w:rPr>
                    </w:r>
                  </w:p>
                </w:tc>
              </w:sdtContent>
            </w:sdt>
          </w:tr>
          <w:tr>
            <w:trPr>
              <w:cantSplit w:val="0"/>
              <w:trHeight w:val="300"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color w:val="434343"/>
                        <w:rtl w:val="0"/>
                      </w:rPr>
                      <w:t xml:space="preserve">$9,254</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color w:val="434343"/>
                        <w:rtl w:val="0"/>
                      </w:rPr>
                      <w:t xml:space="preserve">$8,451</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color w:val="434343"/>
                        <w:rtl w:val="0"/>
                      </w:rPr>
                      <w:t xml:space="preserve">$8,050</w:t>
                    </w:r>
                    <w:r w:rsidDel="00000000" w:rsidR="00000000" w:rsidRPr="00000000">
                      <w:rPr>
                        <w:rtl w:val="0"/>
                      </w:rPr>
                    </w:r>
                  </w:p>
                </w:tc>
              </w:sdtContent>
            </w:sdt>
          </w:tr>
          <w:tr>
            <w:trPr>
              <w:cantSplit w:val="0"/>
              <w:trHeight w:val="315"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color w:val="434343"/>
                        <w:rtl w:val="0"/>
                      </w:rPr>
                      <w:t xml:space="preserve">$13,200</w:t>
                    </w:r>
                    <w:r w:rsidDel="00000000" w:rsidR="00000000" w:rsidRPr="00000000">
                      <w:rPr>
                        <w:rtl w:val="0"/>
                      </w:rPr>
                    </w:r>
                  </w:p>
                </w:tc>
              </w:sdtContent>
            </w:sdt>
          </w:tr>
          <w:tr>
            <w:trPr>
              <w:cantSplit w:val="0"/>
              <w:trHeight w:val="315"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color w:val="434343"/>
                        <w:rtl w:val="0"/>
                      </w:rPr>
                      <w:t xml:space="preserve">$5,436</w:t>
                    </w:r>
                    <w:r w:rsidDel="00000000" w:rsidR="00000000" w:rsidRPr="00000000">
                      <w:rPr>
                        <w:rtl w:val="0"/>
                      </w:rPr>
                    </w:r>
                  </w:p>
                </w:tc>
              </w:sdtContent>
            </w:sdt>
          </w:tr>
        </w:tbl>
      </w:sdtContent>
    </w:sdt>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 Aplica temporadas especiales en Guelaguetza y Día de Muertos.</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limitantes para visitar Hierve el Agua.</w:t>
      </w: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sz w:val="24"/>
          <w:szCs w:val="24"/>
        </w:rPr>
      </w:pPr>
      <w:bookmarkStart w:colFirst="0" w:colLast="0" w:name="_heading=h.hkcnmdxies1p" w:id="0"/>
      <w:bookmarkEnd w:id="0"/>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24"/>
          <w:szCs w:val="24"/>
        </w:rPr>
      </w:pPr>
      <w:bookmarkStart w:colFirst="0" w:colLast="0" w:name="_heading=h.yx3bt73vo4w" w:id="1"/>
      <w:bookmarkEnd w:id="1"/>
      <w:r w:rsidDel="00000000" w:rsidR="00000000" w:rsidRPr="00000000">
        <w:rPr>
          <w:rtl w:val="0"/>
        </w:rPr>
      </w:r>
    </w:p>
    <w:p w:rsidR="00000000" w:rsidDel="00000000" w:rsidP="00000000" w:rsidRDefault="00000000" w:rsidRPr="00000000" w14:paraId="00000055">
      <w:pPr>
        <w:jc w:val="center"/>
        <w:rPr>
          <w:rFonts w:ascii="Century Gothic" w:cs="Century Gothic" w:eastAsia="Century Gothic" w:hAnsi="Century Gothic"/>
          <w:b w:val="1"/>
          <w:u w:val="single"/>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br w:type="textWrapping"/>
      </w:r>
      <w:bookmarkStart w:colFirst="0" w:colLast="0" w:name="bookmark=kix.l07qp01m417w" w:id="2"/>
      <w:bookmarkEnd w:id="2"/>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56">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57">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Oaxaca Clásico</w:t>
      </w:r>
      <w:r w:rsidDel="00000000" w:rsidR="00000000" w:rsidRPr="00000000">
        <w:rPr>
          <w:rFonts w:ascii="Century Gothic" w:cs="Century Gothic" w:eastAsia="Century Gothic" w:hAnsi="Century Gothic"/>
          <w:color w:val="808080"/>
          <w:rtl w:val="0"/>
        </w:rPr>
        <w:t xml:space="preserve"> el horario de llegada debe ser antes de las 13:00 hrs. </w:t>
      </w:r>
      <w:r w:rsidDel="00000000" w:rsidR="00000000" w:rsidRPr="00000000">
        <w:rPr>
          <w:rtl w:val="0"/>
        </w:rPr>
      </w:r>
    </w:p>
    <w:p w:rsidR="00000000" w:rsidDel="00000000" w:rsidP="00000000" w:rsidRDefault="00000000" w:rsidRPr="00000000" w14:paraId="00000058">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9">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5A">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p>
    <w:p w:rsidR="00000000" w:rsidDel="00000000" w:rsidP="00000000" w:rsidRDefault="00000000" w:rsidRPr="00000000" w14:paraId="0000005C">
      <w:pPr>
        <w:numPr>
          <w:ilvl w:val="0"/>
          <w:numId w:val="1"/>
        </w:num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5D">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5E">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5F">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0">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1">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Temporadas altas especiales:</w:t>
      </w:r>
      <w:r w:rsidDel="00000000" w:rsidR="00000000" w:rsidRPr="00000000">
        <w:rPr>
          <w:rtl w:val="0"/>
        </w:rPr>
      </w:r>
    </w:p>
    <w:p w:rsidR="00000000" w:rsidDel="00000000" w:rsidP="00000000" w:rsidRDefault="00000000" w:rsidRPr="00000000" w14:paraId="00000062">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Guelaguetza: 15 de julio – 01 de agosto. Aplican ÚNICAMENTE los paquetes especiales de Guelaguetza.</w:t>
      </w:r>
    </w:p>
    <w:p w:rsidR="00000000" w:rsidDel="00000000" w:rsidP="00000000" w:rsidRDefault="00000000" w:rsidRPr="00000000" w14:paraId="00000063">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día de muertos: 28 de octubre – 05 de noviembre</w:t>
      </w:r>
      <w:r w:rsidDel="00000000" w:rsidR="00000000" w:rsidRPr="00000000">
        <w:rPr>
          <w:rtl w:val="0"/>
        </w:rPr>
      </w:r>
    </w:p>
    <w:p w:rsidR="00000000" w:rsidDel="00000000" w:rsidP="00000000" w:rsidRDefault="00000000" w:rsidRPr="00000000" w14:paraId="00000064">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65">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6">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7">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6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6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6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6B">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6C">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6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6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6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71">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4">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78">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9">
      <w:pPr>
        <w:shd w:fill="ffffff" w:val="clear"/>
        <w:spacing w:after="0" w:line="240" w:lineRule="auto"/>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Hierve el Agua</w:t>
      </w:r>
      <w:r w:rsidDel="00000000" w:rsidR="00000000" w:rsidRPr="00000000">
        <w:rPr>
          <w:rFonts w:ascii="Century Gothic" w:cs="Century Gothic" w:eastAsia="Century Gothic" w:hAnsi="Century Gothic"/>
          <w:color w:val="808080"/>
          <w:rtl w:val="0"/>
        </w:rPr>
        <w:t xml:space="preserve"> se encuentra en conflicto entre locatarios y Sectur por lo que nos reservamos el derecho de omitir dichas visitas sin posibilidad de reembolso y/o saldo a favor conforme a lo siguiente:</w:t>
      </w:r>
      <w:r w:rsidDel="00000000" w:rsidR="00000000" w:rsidRPr="00000000">
        <w:rPr>
          <w:rtl w:val="0"/>
        </w:rPr>
      </w:r>
    </w:p>
    <w:p w:rsidR="00000000" w:rsidDel="00000000" w:rsidP="00000000" w:rsidRDefault="00000000" w:rsidRPr="00000000" w14:paraId="0000007A">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B">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7C">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D">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7E">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spacing w:after="0"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80">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81">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82">
      <w:pPr>
        <w:rPr/>
      </w:pPr>
      <w:bookmarkStart w:colFirst="0" w:colLast="0" w:name="_heading=h.iecb3291tlvj" w:id="4"/>
      <w:bookmarkEnd w:id="4"/>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XCSw821Umwlo3CGVhQCWGxWAhA==">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2024-02-13T22:16:00Z</dcterms:created>
  <dc:creator>HP</dc:creator>
</cp:coreProperties>
</file>